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FE24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6" w:lineRule="atLeast"/>
        <w:ind w:left="0" w:right="0" w:firstLine="0"/>
        <w:jc w:val="center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-12"/>
          <w:sz w:val="43"/>
          <w:szCs w:val="43"/>
          <w:bdr w:val="none" w:color="auto" w:sz="0" w:space="0"/>
          <w:shd w:val="clear" w:fill="FFFFFF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-12"/>
          <w:sz w:val="43"/>
          <w:szCs w:val="43"/>
          <w:bdr w:val="none" w:color="auto" w:sz="0" w:space="0"/>
          <w:shd w:val="clear" w:fill="FFFFFF"/>
        </w:rPr>
        <w:t>上海海事大学研究生学位论文开题和中期报告</w:t>
      </w:r>
      <w:bookmarkStart w:id="1" w:name="_GoBack"/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-12"/>
          <w:sz w:val="43"/>
          <w:szCs w:val="43"/>
          <w:bdr w:val="none" w:color="auto" w:sz="0" w:space="0"/>
          <w:shd w:val="clear" w:fill="FFFFFF"/>
        </w:rPr>
        <w:t>管理办法</w:t>
      </w:r>
      <w:bookmarkEnd w:id="1"/>
    </w:p>
    <w:p w14:paraId="573129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6" w:lineRule="atLeast"/>
        <w:ind w:left="0" w:right="0" w:firstLine="0"/>
        <w:jc w:val="center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-12"/>
          <w:sz w:val="43"/>
          <w:szCs w:val="43"/>
          <w:bdr w:val="none" w:color="auto" w:sz="0" w:space="0"/>
          <w:shd w:val="clear" w:fill="FFFFFF"/>
        </w:rPr>
      </w:pPr>
      <w:bookmarkStart w:id="0" w:name="OLE_LINK1"/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沪海大研〔2026〕249号</w:t>
      </w:r>
      <w:bookmarkEnd w:id="0"/>
    </w:p>
    <w:p w14:paraId="737449E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6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608F83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为加强研究生培养过程管理，提高我校研究生学位论文质量，落实国务院学位委员会和教育部《关于严格规范学位与研究生教育质量管理的若干意见》（学位〔2020〕19号）、教育部国家发展改革委财政部《关于加快新时代研究生教育改革发展的意见》（教研〔2020〕9号）、教育部办公厅《关于进一步规范和加强研究生培养管理的通知》（教研厅〔2019〕1号）等文件精神，结合我校实际，特制定本办法。</w:t>
      </w:r>
    </w:p>
    <w:p w14:paraId="7B7A9F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第一章  博士学位论文开题与中期考核工作要求</w:t>
      </w:r>
    </w:p>
    <w:p w14:paraId="3434464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第一条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博士学位论文开题报告和中期报告内容</w:t>
      </w:r>
    </w:p>
    <w:p w14:paraId="5CD838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（一）博士学位论文开题报告内容</w:t>
      </w:r>
    </w:p>
    <w:p w14:paraId="0088E8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1.考查博士生对本学科专业的基础理论与专业知识的掌握程度、课程学习情况、是否具备应用所学知识进行创造性科研工作能力；</w:t>
      </w:r>
    </w:p>
    <w:p w14:paraId="655954F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2.考查博士学位论文工作准备情况，包括论文选题、文献阅读、工作难度、研究思路、预期成果与创新性、研究基础、写作能力和答辩表达能力等；</w:t>
      </w:r>
    </w:p>
    <w:p w14:paraId="040C09E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3.考查博士生参与学术活动情况、政治思想素质等；</w:t>
      </w:r>
    </w:p>
    <w:p w14:paraId="7A74BE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4.学科契合度专项评审。考查博士学位论文选题与所在学科专业方向的契合度，重点评审选题是否体现学科特色和优势、是否符合学科方向要求、是否跟踪本研究领域的学科前沿。专家组应对选题与学科专业内涵的契合度进行专项评议-，评审结论作为开题是否通过的重要依据；</w:t>
      </w:r>
    </w:p>
    <w:p w14:paraId="78C4C0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5.研究方法专项评审。考查博士生对核心研究方法的掌握与应用能力，要求博士生在开题报告中明确列示所采用的核心研究方法，并提交方法应用说明，说明内容包括研究方法的选择依据、适用范围、操作步骤及其在本研究中的具体应用方案。</w:t>
      </w:r>
    </w:p>
    <w:p w14:paraId="0AA799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（二）博士学位论文中期报告内容</w:t>
      </w:r>
    </w:p>
    <w:p w14:paraId="1D8FA1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1.博士学位论文内容完成情况、阶段性成果是否正确、创新性成果是否成立；</w:t>
      </w:r>
    </w:p>
    <w:p w14:paraId="3C71E8A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2.博士学位论文开题时的方案是否需调整或已做了哪些调整，后续工作思路是否正确、工作进度是否有保障、预期目标能否实现、论文质量是否能够保证以及论文工作存在的问题、学术论文发表情况等。</w:t>
      </w:r>
    </w:p>
    <w:p w14:paraId="770026B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第二条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博士学位论文开题报告和中期报告的撰写要求</w:t>
      </w:r>
    </w:p>
    <w:p w14:paraId="08FC30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（一）博士学位论文开题报告正文字数不少于12000字；参考文献数量不少于50篇。</w:t>
      </w:r>
    </w:p>
    <w:p w14:paraId="63A0299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（二）中期报告正文字数不少于15000字；参考文献数量不少于80篇。</w:t>
      </w:r>
    </w:p>
    <w:p w14:paraId="6D65EA5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（三）参考文献外文资料不少于二分之一，近5年文献不少于三分之一；正文及参考文献等撰写要求参见《GB/T 7713.1-2025《信息与文献 编写规则 第1部分：学位论文》。</w:t>
      </w:r>
    </w:p>
    <w:p w14:paraId="05383CB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第三条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博士学位论文开题报告和中期报告的组织</w:t>
      </w:r>
    </w:p>
    <w:p w14:paraId="58EE71D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（一）博士生的开题宜在其修完教学计划规定的课程学分后进行。由学院组织，按照一级学科博士点成立专家组，开题和中期报告应采取答辩形式。</w:t>
      </w:r>
    </w:p>
    <w:p w14:paraId="1A34C6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（二）专家组由5名专家组成，其中，博导数不少于3名，导师一般不作为专家组成员。</w:t>
      </w:r>
    </w:p>
    <w:p w14:paraId="5D2AA69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（三）博士生自述时间不少于15分钟，专家问答时间不少于15分钟。</w:t>
      </w:r>
    </w:p>
    <w:p w14:paraId="176643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（四）专家组以无记名投票方式表决，考核结论分为通过或不通过。</w:t>
      </w:r>
    </w:p>
    <w:p w14:paraId="510983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第二章  硕士学位论文开题与中期考核工作要求</w:t>
      </w:r>
    </w:p>
    <w:p w14:paraId="7CFEB3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第四条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硕士学位论文开题报告和中期报告内容</w:t>
      </w:r>
    </w:p>
    <w:p w14:paraId="5DAD77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（一）硕士学位论文开题按照学术学位和专业学位不同要求开展。</w:t>
      </w:r>
    </w:p>
    <w:p w14:paraId="0C9013C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1.学术学位硕士论文开题内容</w:t>
      </w:r>
    </w:p>
    <w:p w14:paraId="3CDD64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（1）考查硕士生对本学科专业的基础理论与专业知识的掌握程度、课程学习情况等；</w:t>
      </w:r>
    </w:p>
    <w:p w14:paraId="0B3DC60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（2）论文工作准备情况，包括论文选题、文献阅读、研究内容、研究方法和技术路线、工作难度、研究基础、写作能力和答辩表达能力以及参与学术活动情况等。</w:t>
      </w:r>
    </w:p>
    <w:p w14:paraId="51BEED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2.专业学位硕士论文开题内容</w:t>
      </w:r>
    </w:p>
    <w:p w14:paraId="341C5C2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（1）考查硕士生对本专业/领域课程学习、校内外实践（实验）、联合培养情况，对专业知识、技能、标准规范等掌握程度；</w:t>
      </w:r>
    </w:p>
    <w:p w14:paraId="17542F2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2）论文工作准备情况，包括论文选题是否适合专业学位研究生培养要求、论文的目的意义及国内外发展状况、论文内容的合理性、方法的科学性、工作量与工作难度、预期成果的实用性和新颖性、文献阅读等。</w:t>
      </w:r>
    </w:p>
    <w:p w14:paraId="4565FB0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（二）硕士学位论文中期报告按照学术学位和专业学位不同要求开展。</w:t>
      </w:r>
    </w:p>
    <w:p w14:paraId="5378EF4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1.学术学位论文中期报告内容</w:t>
      </w:r>
    </w:p>
    <w:p w14:paraId="6ECE2DE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（1）论文内容完成情况、阶段性成果是否正确、创新性成果是否成立；</w:t>
      </w:r>
    </w:p>
    <w:p w14:paraId="32D8AC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（2）开题时方案是否需调整或已做了哪些调整，后续工作思路是否正确、工作进度是否有保障、预期目标能否实现、论文质量是否能够保证以及论文工作存在的问题、学术论文发表情况等。</w:t>
      </w:r>
    </w:p>
    <w:p w14:paraId="12D04BA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2.专业学位论文中期报告内容</w:t>
      </w:r>
    </w:p>
    <w:p w14:paraId="32C9C5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（1）论文内容是否符合专业学位人才培养要求，开题时确定的校内外实习实践、联合培养环节完成情况；</w:t>
      </w:r>
    </w:p>
    <w:p w14:paraId="6CD991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2）论文内容完成情况、阶段性成果是否正确，开题时方案是否需调整或已做了哪些调整，后续工作思路是否正确、工作进度是否有保障、预期目标能否实现、论文质量是否能够保证以及论文工作存在的问题等；</w:t>
      </w:r>
    </w:p>
    <w:p w14:paraId="0CFE3D9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（3）研究生对本专业/领域的专业知识、技术标准规范等掌握程度等。</w:t>
      </w:r>
    </w:p>
    <w:p w14:paraId="0892EE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第五条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硕士学位论文开题与中期报告的撰写要求</w:t>
      </w:r>
    </w:p>
    <w:p w14:paraId="0877445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（一）硕士学位论文开题报告正文字数不少于6000字，参考文献数量不少于20篇（其中外文资料不少于二分之一，马克思主义理论学科外文资料不少于四分之一）-。</w:t>
      </w:r>
    </w:p>
    <w:p w14:paraId="1388E4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（二）硕士学位论文中期报告正文字数不少于8000字，近5年文献不少于三分之一-。正文及参考文献等撰写要求参见《GB/T 7713.1-2025《信息与文献 编写规则 第1部分：学位论文。</w:t>
      </w:r>
    </w:p>
    <w:p w14:paraId="0F9749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第六条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硕士学位论文开题与中期报告的组织</w:t>
      </w:r>
    </w:p>
    <w:p w14:paraId="545A45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（一）硕士学位论文开题报告一般在修完教学计划规定的课程学分后进行。开题与中期报告由学院组织，按照一级学科硕士点、专业学位类别成立专家组，以答辩的形式进行。</w:t>
      </w:r>
    </w:p>
    <w:p w14:paraId="43ADDE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（二）专家组由3～5名专家组成，其中，硕导数不少于3名，导师一般不作为专家组成员。专业学位专家组须至少包含1名校外行业专家。</w:t>
      </w:r>
    </w:p>
    <w:p w14:paraId="09F2506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（三）硕士生自述时间不少于10分钟，专家问答时间不少于10分钟。</w:t>
      </w:r>
    </w:p>
    <w:p w14:paraId="025D793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（四）专家组以无记名投票方式表决，考核结论分为通过或不通过。</w:t>
      </w:r>
    </w:p>
    <w:p w14:paraId="5A1346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第三章  开题和中期考核后续工作程序</w:t>
      </w:r>
    </w:p>
    <w:p w14:paraId="189B61E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第七条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学位论文开题和中期报告通过后的工作程序</w:t>
      </w:r>
    </w:p>
    <w:p w14:paraId="594B15F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（一）博士学位论文开题报告通过后，至少6个月可申请中期报告。硕士学位论文开题报告通过后，至少3个月可申请中期报告。</w:t>
      </w:r>
    </w:p>
    <w:p w14:paraId="4AC980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（二）博士学位论文中期报告通过后，至少6个月可申请预答辩。硕士学位论文中期报告通过后，至少3个月可申请答辩。</w:t>
      </w:r>
    </w:p>
    <w:p w14:paraId="2490F7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第八条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学位论文开题和中期报告不通过后的工作程序</w:t>
      </w:r>
    </w:p>
    <w:p w14:paraId="689C18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（一）博士学位论文开题或中期报告不通过，可在至少3个月以后申请再次开题或中期报告。</w:t>
      </w:r>
    </w:p>
    <w:p w14:paraId="6885AE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（二）硕士学位论文开题或中期报告不通过，可在至少2个月以后申请再次开题或中期报告。</w:t>
      </w:r>
    </w:p>
    <w:p w14:paraId="0E5E8C5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第九条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学位论文开题或中期报告通过的研究生，如果在后续研究撰写过程中，论文题目变动较大，需重新开题。</w:t>
      </w:r>
    </w:p>
    <w:p w14:paraId="141A2E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第十条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研究生应根据答辩会上的专家意见修改完善开题报告或中期报告，经导师审核、签字后，保存为PDF文档格式，上传到研究生信息管理系统。</w:t>
      </w:r>
    </w:p>
    <w:p w14:paraId="70A207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第十一条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研究生应在学校规定的时间内完成学位论文开题和中期报告，逾期的将按照有关规定延长学习年限。</w:t>
      </w:r>
    </w:p>
    <w:p w14:paraId="5E6544D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第四章  附则</w:t>
      </w:r>
    </w:p>
    <w:p w14:paraId="085F63A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第十二条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各学院应提前一周将博士生和硕士生的开题和中期报告时间、地点报告给研究生院学位科。</w:t>
      </w:r>
    </w:p>
    <w:p w14:paraId="2E90F4B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第十三条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研究生院加大对研究生学位论文开题和中期报告的监督检查力度。</w:t>
      </w:r>
    </w:p>
    <w:p w14:paraId="70CB7A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第十四条 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本办法涉及的研究生学位论文开题、中期报告格式见研究生院发文通知。</w:t>
      </w:r>
    </w:p>
    <w:p w14:paraId="5581088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第十五条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本办法自发布之日起开始执行，解释权归研究生院。各学院可在此基础上，根据实际情况和学科特点，制定具体的实施细则，报研究生院备案。</w:t>
      </w:r>
    </w:p>
    <w:p w14:paraId="62B635A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第十六条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  《上海海事大学研究生学位论文开题和中期报告管理办法》（沪海大研〔2023〕228号）自本办法施行之日起废止。</w:t>
      </w:r>
    </w:p>
    <w:p w14:paraId="6B4854F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516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</w:p>
    <w:p w14:paraId="2B34F0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31"/>
          <w:szCs w:val="31"/>
          <w:bdr w:val="none" w:color="auto" w:sz="0" w:space="0"/>
          <w:shd w:val="clear" w:fill="FFFFFF"/>
        </w:rPr>
        <w:t>附表</w:t>
      </w:r>
    </w:p>
    <w:tbl>
      <w:tblPr>
        <w:tblW w:w="5082" w:type="pct"/>
        <w:tblInd w:w="-138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86"/>
        <w:gridCol w:w="2320"/>
        <w:gridCol w:w="2167"/>
      </w:tblGrid>
      <w:tr w14:paraId="00EA10B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D66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研究生类别</w:t>
            </w:r>
          </w:p>
        </w:tc>
        <w:tc>
          <w:tcPr>
            <w:tcW w:w="2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4416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开题报告时间</w:t>
            </w:r>
          </w:p>
        </w:tc>
        <w:tc>
          <w:tcPr>
            <w:tcW w:w="21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632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Style w:val="5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中期报告时间</w:t>
            </w:r>
          </w:p>
        </w:tc>
      </w:tr>
      <w:tr w14:paraId="3A22BAB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CBF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博士研究生（3年）</w:t>
            </w:r>
          </w:p>
        </w:tc>
        <w:tc>
          <w:tcPr>
            <w:tcW w:w="2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03E6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第3学期</w:t>
            </w:r>
          </w:p>
        </w:tc>
        <w:tc>
          <w:tcPr>
            <w:tcW w:w="21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F14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第4学期</w:t>
            </w:r>
          </w:p>
        </w:tc>
      </w:tr>
      <w:tr w14:paraId="3528091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7D2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学术型硕士研究生（3年）</w:t>
            </w:r>
          </w:p>
        </w:tc>
        <w:tc>
          <w:tcPr>
            <w:tcW w:w="2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95A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第3学期</w:t>
            </w:r>
          </w:p>
        </w:tc>
        <w:tc>
          <w:tcPr>
            <w:tcW w:w="21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652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第4学期</w:t>
            </w:r>
          </w:p>
        </w:tc>
      </w:tr>
      <w:tr w14:paraId="0F3D5FA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179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专业型硕士研究生（2.5年、3年）</w:t>
            </w:r>
          </w:p>
        </w:tc>
        <w:tc>
          <w:tcPr>
            <w:tcW w:w="2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222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第3学期</w:t>
            </w:r>
          </w:p>
        </w:tc>
        <w:tc>
          <w:tcPr>
            <w:tcW w:w="21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790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第4学期</w:t>
            </w:r>
          </w:p>
        </w:tc>
      </w:tr>
      <w:tr w14:paraId="23785A5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9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E39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专业型硕士研究生（2年）</w:t>
            </w:r>
          </w:p>
        </w:tc>
        <w:tc>
          <w:tcPr>
            <w:tcW w:w="232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076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第3学期9月份</w:t>
            </w:r>
          </w:p>
        </w:tc>
        <w:tc>
          <w:tcPr>
            <w:tcW w:w="21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F4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 w:firstLine="252"/>
              <w:jc w:val="center"/>
              <w:rPr>
                <w:color w:val="333333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31"/>
                <w:szCs w:val="31"/>
                <w:bdr w:val="none" w:color="auto" w:sz="0" w:space="0"/>
                <w:shd w:val="clear" w:fill="FFFFFF"/>
              </w:rPr>
              <w:t>第3学期末</w:t>
            </w:r>
          </w:p>
        </w:tc>
      </w:tr>
    </w:tbl>
    <w:p w14:paraId="5CB0C2E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C7E3B"/>
    <w:rsid w:val="1C7C7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2026-09-10T01:46:00Z</dcterms:created>
  <dc:creator>WPS_1622793309</dc:creator>
  <cp:lastModifiedBy>WPS_1622793309</cp:lastModifiedBy>
  <dcterms:modified xsi:type="dcterms:W3CDTF">2026-09-10T01:49:11Z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03256D60C9DC44AE81C0A3C5696CC060_11</vt:lpwstr>
  </property>
  <property fmtid="{D5CDD505-2E9C-101B-9397-08002B2CF9AE}" pid="4" name="KSOTemplateDocerSaveRecord">
    <vt:lpwstr>eyJoZGlkIjoiZTQzNzY1ZTUwN2IxYjA2ODIxZjY0ZTAzMTM2Y2MyYjAiLCJ1c2VySWQiOiIxMjE2NjAzMTA1In0=</vt:lpwstr>
  </property>
</Properties>
</file>